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94614E" w:rsidRDefault="0094614E"/>
    <w:p w:rsidR="0094614E" w:rsidRDefault="0094614E"/>
    <w:p w:rsidR="0094614E" w:rsidRDefault="0094614E"/>
    <w:p w:rsidR="002576A7" w:rsidRDefault="002576A7"/>
    <w:p w:rsidR="002576A7" w:rsidRPr="00F43A09" w:rsidRDefault="0008113A" w:rsidP="002576A7">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Civil Rights Movement</w:t>
      </w:r>
    </w:p>
    <w:p w:rsidR="002576A7" w:rsidRDefault="0008113A" w:rsidP="002576A7">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2576A7" w:rsidRDefault="0008113A" w:rsidP="002576A7">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2576A7" w:rsidRDefault="0008113A" w:rsidP="002576A7">
      <w:pPr>
        <w:spacing w:after="0"/>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2576A7" w:rsidRDefault="002576A7" w:rsidP="002576A7">
      <w:pPr>
        <w:jc w:val="center"/>
      </w:pPr>
    </w:p>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Default="002576A7"/>
    <w:p w:rsidR="002576A7" w:rsidRPr="002576A7" w:rsidRDefault="0008113A" w:rsidP="002576A7">
      <w:pPr>
        <w:spacing w:after="0" w:line="480" w:lineRule="auto"/>
        <w:ind w:firstLine="851"/>
        <w:jc w:val="center"/>
        <w:rPr>
          <w:rFonts w:ascii="Times New Roman" w:hAnsi="Times New Roman" w:cs="Times New Roman"/>
          <w:b/>
          <w:bCs/>
          <w:color w:val="000000" w:themeColor="text1"/>
          <w:sz w:val="24"/>
          <w:szCs w:val="24"/>
        </w:rPr>
      </w:pPr>
      <w:r w:rsidRPr="002576A7">
        <w:rPr>
          <w:rFonts w:ascii="Times New Roman" w:hAnsi="Times New Roman" w:cs="Times New Roman"/>
          <w:b/>
          <w:bCs/>
          <w:color w:val="000000" w:themeColor="text1"/>
          <w:sz w:val="24"/>
          <w:szCs w:val="24"/>
        </w:rPr>
        <w:lastRenderedPageBreak/>
        <w:t>Civil Rights Movement</w:t>
      </w:r>
    </w:p>
    <w:p w:rsidR="00D34114" w:rsidRPr="002576A7" w:rsidRDefault="0008113A" w:rsidP="002576A7">
      <w:pPr>
        <w:spacing w:after="0" w:line="480" w:lineRule="auto"/>
        <w:ind w:firstLine="851"/>
        <w:rPr>
          <w:rFonts w:ascii="Times New Roman" w:hAnsi="Times New Roman" w:cs="Times New Roman"/>
          <w:color w:val="000000" w:themeColor="text1"/>
          <w:sz w:val="24"/>
          <w:szCs w:val="24"/>
        </w:rPr>
      </w:pPr>
      <w:r w:rsidRPr="002576A7">
        <w:rPr>
          <w:rFonts w:ascii="Times New Roman" w:hAnsi="Times New Roman" w:cs="Times New Roman"/>
          <w:color w:val="000000" w:themeColor="text1"/>
          <w:sz w:val="24"/>
          <w:szCs w:val="24"/>
        </w:rPr>
        <w:t xml:space="preserve">Different factors played a significant role in enhancing the civil rights movement in the 1950s. Many factors can be identified; however, few elements are the most influential and cannot be ignored. One of the primary factors is the presence of the struggle for equality among the minority population. The African-Americans were struggling to have equal rights in the US's laws </w:t>
      </w:r>
      <w:r w:rsidR="002576A7" w:rsidRPr="002576A7">
        <w:rPr>
          <w:rFonts w:ascii="Times New Roman" w:hAnsi="Times New Roman" w:cs="Times New Roman"/>
          <w:color w:val="000000" w:themeColor="text1"/>
          <w:sz w:val="24"/>
          <w:szCs w:val="24"/>
        </w:rPr>
        <w:t>(</w:t>
      </w:r>
      <w:r w:rsidR="002576A7" w:rsidRPr="002576A7">
        <w:rPr>
          <w:rFonts w:ascii="Times New Roman" w:hAnsi="Times New Roman" w:cs="Times New Roman"/>
          <w:color w:val="000000" w:themeColor="text1"/>
          <w:sz w:val="24"/>
          <w:szCs w:val="24"/>
          <w:shd w:val="clear" w:color="auto" w:fill="FFFFFF"/>
        </w:rPr>
        <w:t>Lott,2017)</w:t>
      </w:r>
      <w:r w:rsidRPr="002576A7">
        <w:rPr>
          <w:rFonts w:ascii="Times New Roman" w:hAnsi="Times New Roman" w:cs="Times New Roman"/>
          <w:color w:val="000000" w:themeColor="text1"/>
          <w:sz w:val="24"/>
          <w:szCs w:val="24"/>
        </w:rPr>
        <w:t>. The presence of civil war enhanced the end of slavery; however, it did not enhance the end of discrimination against the African-Americans as they continued to face racism. Privileges such as voting were not given to black people. This led to establishing the civil rights movement in the 1950s to ensure that the minority group was provided similar privileges in the US. Also, the LULCA (League of United Latin American Citizens) opposed restrictive employment and housing discrimination</w:t>
      </w:r>
      <w:r w:rsidR="00AF6B3F" w:rsidRPr="002576A7">
        <w:rPr>
          <w:rFonts w:ascii="Times New Roman" w:hAnsi="Times New Roman" w:cs="Times New Roman"/>
          <w:color w:val="000000" w:themeColor="text1"/>
          <w:sz w:val="24"/>
          <w:szCs w:val="24"/>
        </w:rPr>
        <w:t>)</w:t>
      </w:r>
      <w:r w:rsidR="001F5494" w:rsidRPr="002576A7">
        <w:rPr>
          <w:rFonts w:ascii="Times New Roman" w:hAnsi="Times New Roman" w:cs="Times New Roman"/>
          <w:color w:val="000000" w:themeColor="text1"/>
          <w:sz w:val="24"/>
          <w:szCs w:val="24"/>
        </w:rPr>
        <w:t xml:space="preserve"> which enhanced the growth of the civil rights movement.</w:t>
      </w:r>
    </w:p>
    <w:p w:rsidR="00D34114" w:rsidRPr="002576A7" w:rsidRDefault="001F5494" w:rsidP="002576A7">
      <w:pPr>
        <w:spacing w:after="0" w:line="480" w:lineRule="auto"/>
        <w:ind w:firstLine="851"/>
        <w:rPr>
          <w:rFonts w:ascii="Times New Roman" w:hAnsi="Times New Roman" w:cs="Times New Roman"/>
          <w:color w:val="000000" w:themeColor="text1"/>
          <w:sz w:val="24"/>
          <w:szCs w:val="24"/>
        </w:rPr>
      </w:pPr>
      <w:r w:rsidRPr="002576A7">
        <w:rPr>
          <w:rFonts w:ascii="Times New Roman" w:hAnsi="Times New Roman" w:cs="Times New Roman"/>
          <w:color w:val="000000" w:themeColor="text1"/>
          <w:sz w:val="24"/>
          <w:szCs w:val="24"/>
        </w:rPr>
        <w:t>Since the organization was established, it focused on civil rights, work, and education. The organization was determined to oppose various discriminations that the Hispanics faced in the USA. It fought for the equal treatment of Hispanics by negotiating with the local leaders and state to enhance the legal system's inclusion in the matter. The organization involved more radical groups by the 1950s who used protests to enhance equal rights. Another factor is the overturning of Brown v. Board of Education, which involved the "separate but equal"</w:t>
      </w:r>
      <w:r w:rsidR="002576A7" w:rsidRPr="002576A7">
        <w:rPr>
          <w:rFonts w:ascii="Times New Roman" w:hAnsi="Times New Roman" w:cs="Times New Roman"/>
          <w:color w:val="000000" w:themeColor="text1"/>
          <w:sz w:val="24"/>
          <w:szCs w:val="24"/>
        </w:rPr>
        <w:t xml:space="preserve"> (</w:t>
      </w:r>
      <w:r w:rsidR="002576A7" w:rsidRPr="002576A7">
        <w:rPr>
          <w:rFonts w:ascii="Times New Roman" w:hAnsi="Times New Roman" w:cs="Times New Roman"/>
          <w:color w:val="000000" w:themeColor="text1"/>
          <w:sz w:val="24"/>
          <w:szCs w:val="24"/>
          <w:shd w:val="clear" w:color="auto" w:fill="FFFFFF"/>
        </w:rPr>
        <w:t>Lott,2017)</w:t>
      </w:r>
      <w:r w:rsidRPr="002576A7">
        <w:rPr>
          <w:rFonts w:ascii="Times New Roman" w:hAnsi="Times New Roman" w:cs="Times New Roman"/>
          <w:color w:val="000000" w:themeColor="text1"/>
          <w:sz w:val="24"/>
          <w:szCs w:val="24"/>
        </w:rPr>
        <w:t xml:space="preserve">. The system involved a violation of equal protection in the law. The supreme court provided that this policy's presence could have led to unconstitutional actions through the absence of equal protection. </w:t>
      </w:r>
      <w:r w:rsidR="002576A7" w:rsidRPr="002576A7">
        <w:rPr>
          <w:rFonts w:ascii="Times New Roman" w:hAnsi="Times New Roman" w:cs="Times New Roman"/>
          <w:color w:val="000000" w:themeColor="text1"/>
          <w:sz w:val="24"/>
          <w:szCs w:val="24"/>
        </w:rPr>
        <w:t xml:space="preserve">Racial segregation is a factor in this case that enhanced the strengthening of the civil rights movement. The ruling that racial segregation in public schools was legal influenced an increase in actions established to oppose the law and ensure that the black children were given equal privileges as the white. Also, Martin Luther King Junior was an influential leader in the 1950s who enhanced black people's rights </w:t>
      </w:r>
      <w:r w:rsidR="002576A7" w:rsidRPr="002576A7">
        <w:rPr>
          <w:rFonts w:ascii="Times New Roman" w:hAnsi="Times New Roman" w:cs="Times New Roman"/>
          <w:color w:val="000000" w:themeColor="text1"/>
          <w:sz w:val="24"/>
          <w:szCs w:val="24"/>
        </w:rPr>
        <w:lastRenderedPageBreak/>
        <w:t>through the use of non-violent strategies. He acted as a leader who created awareness concerning discrimination against black people in the USA. This enhances the establishment of unity among people to fight against the exploitation of minority groups in the USA.</w:t>
      </w: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2576A7" w:rsidRDefault="002576A7" w:rsidP="002576A7">
      <w:pPr>
        <w:spacing w:after="0" w:line="480" w:lineRule="auto"/>
        <w:ind w:firstLine="851"/>
        <w:rPr>
          <w:rFonts w:ascii="Times New Roman" w:hAnsi="Times New Roman" w:cs="Times New Roman"/>
          <w:b/>
          <w:bCs/>
          <w:color w:val="000000" w:themeColor="text1"/>
          <w:sz w:val="24"/>
          <w:szCs w:val="24"/>
        </w:rPr>
      </w:pPr>
    </w:p>
    <w:p w:rsidR="00F207A9" w:rsidRDefault="00F207A9" w:rsidP="002576A7">
      <w:pPr>
        <w:spacing w:after="0" w:line="480" w:lineRule="auto"/>
        <w:ind w:firstLine="851"/>
        <w:rPr>
          <w:rFonts w:ascii="Times New Roman" w:hAnsi="Times New Roman" w:cs="Times New Roman"/>
          <w:b/>
          <w:bCs/>
          <w:color w:val="000000" w:themeColor="text1"/>
          <w:sz w:val="24"/>
          <w:szCs w:val="24"/>
        </w:rPr>
      </w:pPr>
    </w:p>
    <w:p w:rsidR="002576A7" w:rsidRPr="002576A7" w:rsidRDefault="0008113A" w:rsidP="002576A7">
      <w:pPr>
        <w:spacing w:after="0" w:line="480" w:lineRule="auto"/>
        <w:ind w:firstLine="851"/>
        <w:jc w:val="center"/>
        <w:rPr>
          <w:rFonts w:ascii="Times New Roman" w:hAnsi="Times New Roman" w:cs="Times New Roman"/>
          <w:b/>
          <w:bCs/>
          <w:color w:val="000000" w:themeColor="text1"/>
          <w:sz w:val="24"/>
          <w:szCs w:val="24"/>
        </w:rPr>
      </w:pPr>
      <w:r w:rsidRPr="002576A7">
        <w:rPr>
          <w:rFonts w:ascii="Times New Roman" w:hAnsi="Times New Roman" w:cs="Times New Roman"/>
          <w:b/>
          <w:bCs/>
          <w:color w:val="000000" w:themeColor="text1"/>
          <w:sz w:val="24"/>
          <w:szCs w:val="24"/>
        </w:rPr>
        <w:lastRenderedPageBreak/>
        <w:t>Reference</w:t>
      </w:r>
    </w:p>
    <w:p w:rsidR="002576A7" w:rsidRPr="002576A7" w:rsidRDefault="0008113A" w:rsidP="002576A7">
      <w:pPr>
        <w:spacing w:after="0" w:line="480" w:lineRule="auto"/>
        <w:ind w:left="851" w:hanging="851"/>
        <w:rPr>
          <w:rFonts w:ascii="Times New Roman" w:hAnsi="Times New Roman" w:cs="Times New Roman"/>
          <w:color w:val="000000" w:themeColor="text1"/>
          <w:sz w:val="24"/>
          <w:szCs w:val="24"/>
        </w:rPr>
      </w:pPr>
      <w:r w:rsidRPr="002576A7">
        <w:rPr>
          <w:rFonts w:ascii="Times New Roman" w:hAnsi="Times New Roman" w:cs="Times New Roman"/>
          <w:color w:val="000000" w:themeColor="text1"/>
          <w:sz w:val="24"/>
          <w:szCs w:val="24"/>
          <w:shd w:val="clear" w:color="auto" w:fill="FFFFFF"/>
        </w:rPr>
        <w:t>Lott, M. (2017). The Relationship Between the “Invisibility” of African American Women in the American Civil Rights Movement of the 1950s and 1960s and Their Portrayal in Modern Film. </w:t>
      </w:r>
      <w:r w:rsidRPr="002576A7">
        <w:rPr>
          <w:rFonts w:ascii="Times New Roman" w:hAnsi="Times New Roman" w:cs="Times New Roman"/>
          <w:i/>
          <w:iCs/>
          <w:color w:val="000000" w:themeColor="text1"/>
          <w:sz w:val="24"/>
          <w:szCs w:val="24"/>
          <w:shd w:val="clear" w:color="auto" w:fill="FFFFFF"/>
        </w:rPr>
        <w:t>Journal of Black Studies</w:t>
      </w:r>
      <w:r w:rsidRPr="002576A7">
        <w:rPr>
          <w:rFonts w:ascii="Times New Roman" w:hAnsi="Times New Roman" w:cs="Times New Roman"/>
          <w:color w:val="000000" w:themeColor="text1"/>
          <w:sz w:val="24"/>
          <w:szCs w:val="24"/>
          <w:shd w:val="clear" w:color="auto" w:fill="FFFFFF"/>
        </w:rPr>
        <w:t>, </w:t>
      </w:r>
      <w:r w:rsidRPr="002576A7">
        <w:rPr>
          <w:rFonts w:ascii="Times New Roman" w:hAnsi="Times New Roman" w:cs="Times New Roman"/>
          <w:i/>
          <w:iCs/>
          <w:color w:val="000000" w:themeColor="text1"/>
          <w:sz w:val="24"/>
          <w:szCs w:val="24"/>
          <w:shd w:val="clear" w:color="auto" w:fill="FFFFFF"/>
        </w:rPr>
        <w:t>48</w:t>
      </w:r>
      <w:r w:rsidRPr="002576A7">
        <w:rPr>
          <w:rFonts w:ascii="Times New Roman" w:hAnsi="Times New Roman" w:cs="Times New Roman"/>
          <w:color w:val="000000" w:themeColor="text1"/>
          <w:sz w:val="24"/>
          <w:szCs w:val="24"/>
          <w:shd w:val="clear" w:color="auto" w:fill="FFFFFF"/>
        </w:rPr>
        <w:t>(4), 331-354. https://doi.org/10.1177/0021934717696758</w:t>
      </w:r>
    </w:p>
    <w:sectPr w:rsidR="002576A7" w:rsidRPr="002576A7" w:rsidSect="00117D6A">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B1F" w:rsidRDefault="008A4B1F">
      <w:pPr>
        <w:spacing w:after="0" w:line="240" w:lineRule="auto"/>
      </w:pPr>
      <w:r>
        <w:separator/>
      </w:r>
    </w:p>
  </w:endnote>
  <w:endnote w:type="continuationSeparator" w:id="1">
    <w:p w:rsidR="008A4B1F" w:rsidRDefault="008A4B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B1F" w:rsidRDefault="008A4B1F">
      <w:pPr>
        <w:spacing w:after="0" w:line="240" w:lineRule="auto"/>
      </w:pPr>
      <w:r>
        <w:separator/>
      </w:r>
    </w:p>
  </w:footnote>
  <w:footnote w:type="continuationSeparator" w:id="1">
    <w:p w:rsidR="008A4B1F" w:rsidRDefault="008A4B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311448"/>
      <w:docPartObj>
        <w:docPartGallery w:val="Page Numbers (Top of Page)"/>
        <w:docPartUnique/>
      </w:docPartObj>
    </w:sdtPr>
    <w:sdtEndPr>
      <w:rPr>
        <w:rFonts w:ascii="Times New Roman" w:hAnsi="Times New Roman" w:cs="Times New Roman"/>
        <w:noProof/>
        <w:sz w:val="24"/>
        <w:szCs w:val="24"/>
      </w:rPr>
    </w:sdtEndPr>
    <w:sdtContent>
      <w:p w:rsidR="002576A7" w:rsidRPr="002576A7" w:rsidRDefault="007B7A68">
        <w:pPr>
          <w:pStyle w:val="Header"/>
          <w:jc w:val="right"/>
          <w:rPr>
            <w:rFonts w:ascii="Times New Roman" w:hAnsi="Times New Roman" w:cs="Times New Roman"/>
            <w:sz w:val="24"/>
            <w:szCs w:val="24"/>
          </w:rPr>
        </w:pPr>
        <w:r w:rsidRPr="002576A7">
          <w:rPr>
            <w:rFonts w:ascii="Times New Roman" w:hAnsi="Times New Roman" w:cs="Times New Roman"/>
            <w:sz w:val="24"/>
            <w:szCs w:val="24"/>
          </w:rPr>
          <w:fldChar w:fldCharType="begin"/>
        </w:r>
        <w:r w:rsidR="0008113A" w:rsidRPr="002576A7">
          <w:rPr>
            <w:rFonts w:ascii="Times New Roman" w:hAnsi="Times New Roman" w:cs="Times New Roman"/>
            <w:sz w:val="24"/>
            <w:szCs w:val="24"/>
          </w:rPr>
          <w:instrText xml:space="preserve"> PAGE   \* MERGEFORMAT </w:instrText>
        </w:r>
        <w:r w:rsidRPr="002576A7">
          <w:rPr>
            <w:rFonts w:ascii="Times New Roman" w:hAnsi="Times New Roman" w:cs="Times New Roman"/>
            <w:sz w:val="24"/>
            <w:szCs w:val="24"/>
          </w:rPr>
          <w:fldChar w:fldCharType="separate"/>
        </w:r>
        <w:r w:rsidR="00366F5C">
          <w:rPr>
            <w:rFonts w:ascii="Times New Roman" w:hAnsi="Times New Roman" w:cs="Times New Roman"/>
            <w:noProof/>
            <w:sz w:val="24"/>
            <w:szCs w:val="24"/>
          </w:rPr>
          <w:t>4</w:t>
        </w:r>
        <w:r w:rsidRPr="002576A7">
          <w:rPr>
            <w:rFonts w:ascii="Times New Roman" w:hAnsi="Times New Roman" w:cs="Times New Roman"/>
            <w:noProof/>
            <w:sz w:val="24"/>
            <w:szCs w:val="24"/>
          </w:rPr>
          <w:fldChar w:fldCharType="end"/>
        </w:r>
      </w:p>
    </w:sdtContent>
  </w:sdt>
  <w:p w:rsidR="002576A7" w:rsidRDefault="002576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4114"/>
    <w:rsid w:val="0008113A"/>
    <w:rsid w:val="00117D6A"/>
    <w:rsid w:val="001F5494"/>
    <w:rsid w:val="002576A7"/>
    <w:rsid w:val="002B3FBA"/>
    <w:rsid w:val="00366F5C"/>
    <w:rsid w:val="007B7A68"/>
    <w:rsid w:val="008A4B1F"/>
    <w:rsid w:val="0094614E"/>
    <w:rsid w:val="00AF6B3F"/>
    <w:rsid w:val="00D34114"/>
    <w:rsid w:val="00E1569C"/>
    <w:rsid w:val="00F207A9"/>
    <w:rsid w:val="00F43A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D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6A7"/>
  </w:style>
  <w:style w:type="paragraph" w:styleId="Footer">
    <w:name w:val="footer"/>
    <w:basedOn w:val="Normal"/>
    <w:link w:val="FooterChar"/>
    <w:uiPriority w:val="99"/>
    <w:unhideWhenUsed/>
    <w:rsid w:val="00257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6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2020-12-02T10:41:00Z</dcterms:created>
  <dcterms:modified xsi:type="dcterms:W3CDTF">2020-12-02T10:41:00Z</dcterms:modified>
</cp:coreProperties>
</file>